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A93" w:rsidRDefault="007D2A93" w:rsidP="007D2A93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7D2A93" w:rsidRDefault="007D2A93" w:rsidP="007D2A93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7D2A93" w:rsidRDefault="007D2A93" w:rsidP="007D2A93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7D2A93" w:rsidRDefault="007D2A93" w:rsidP="007D2A93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01-00516/25и  от 17 января 2025 года</w:t>
      </w:r>
    </w:p>
    <w:p w:rsidR="007D2A93" w:rsidRDefault="007D2A93" w:rsidP="007D2A93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7D2A93" w:rsidRDefault="007D2A93" w:rsidP="007D2A9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7D2A93" w:rsidRDefault="007D2A93" w:rsidP="007D2A9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7D2A93" w:rsidRDefault="007D2A93" w:rsidP="007D2A93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декабре 2024 года </w:t>
      </w:r>
    </w:p>
    <w:p w:rsidR="007D2A93" w:rsidRDefault="007D2A93" w:rsidP="007D2A93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7D2A93" w:rsidRDefault="007D2A93" w:rsidP="007D2A9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в декабре 2024 года.</w:t>
      </w:r>
    </w:p>
    <w:p w:rsidR="007D2A93" w:rsidRDefault="007D2A93" w:rsidP="007D2A93">
      <w:pPr>
        <w:tabs>
          <w:tab w:val="right" w:pos="9355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D2A93" w:rsidRDefault="007D2A93" w:rsidP="007D2A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7D2A93" w:rsidRDefault="007D2A93" w:rsidP="007D2A93">
      <w:pPr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декабре, по данным государственной наблюдательной сети (приложение 1), в целом по городу был отмечен низкий уровень загрязнения  атмосферного воздуха (СИ=0,8; НП=0%).</w:t>
      </w:r>
    </w:p>
    <w:p w:rsidR="007D2A93" w:rsidRDefault="007D2A93" w:rsidP="007D2A9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D2A93" w:rsidRDefault="007D2A93" w:rsidP="007D2A9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взвешенных веществ, диоксида и оксида азота, оксида углерода, сероводорода, формальдегида, фенола, хлорида водорода, аммиака, ацетона, бензола, ксилола, толуола и этилбензола в целом по городу не превысило установленных гигиенических нормативов, содержание диоксида серы было ниже предела обнаружения.</w:t>
      </w:r>
    </w:p>
    <w:p w:rsidR="007D2A93" w:rsidRDefault="007D2A93" w:rsidP="007D2A9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Среднемесячные концентрации всех определяемых загрязняющих веществ             не превысили 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D2A93" w:rsidRDefault="007D2A93" w:rsidP="007D2A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декабря значения среднесуточных концентраций диоксида азота находились на уровне 0,4–0,5 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с.с.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D2A93" w:rsidRDefault="007D2A93" w:rsidP="007D2A9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                   с предыдущим месяцем представлены на рисунке 1.</w:t>
      </w:r>
    </w:p>
    <w:p w:rsidR="007D2A93" w:rsidRDefault="007D2A93" w:rsidP="007D2A9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object w:dxaOrig="8400" w:dyaOrig="3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1pt;height:150.25pt" o:ole="">
            <v:imagedata r:id="rId7" o:title=""/>
          </v:shape>
          <o:OLEObject Type="Embed" ProgID="MSGraph.Chart.8" ShapeID="_x0000_i1025" DrawAspect="Content" ObjectID="_1798872111" r:id="rId8">
            <o:FieldCodes>\s</o:FieldCodes>
          </o:OLEObject>
        </w:object>
      </w:r>
    </w:p>
    <w:p w:rsidR="007D2A93" w:rsidRDefault="007D2A93" w:rsidP="007D2A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7D2A93" w:rsidRDefault="007D2A93" w:rsidP="007D2A93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ноябре и декабре 2024 г.</w:t>
      </w:r>
    </w:p>
    <w:p w:rsidR="007D2A93" w:rsidRDefault="007D2A93" w:rsidP="007D2A93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7D2A93" w:rsidRDefault="007D2A93" w:rsidP="007D2A93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2A93" w:rsidRDefault="007D2A93" w:rsidP="007D2A9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изменился с повышенного до низкого за счет снижения содержания диоксида азота.         По сравнению с декабрем 2023 г. уровень загрязнения атмосферного не изменился. </w:t>
      </w:r>
    </w:p>
    <w:p w:rsidR="007D2A93" w:rsidRDefault="007D2A93" w:rsidP="007D2A93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декабря на территории Московского региона метеорологические условия способствовали рассеиванию загрязняющих веществ в атмосферном воздухе.  </w:t>
      </w:r>
    </w:p>
    <w:p w:rsidR="007D2A93" w:rsidRDefault="007D2A93" w:rsidP="007D2A93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D2A93" w:rsidRDefault="007D2A93" w:rsidP="007D2A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7D2A93" w:rsidRDefault="007D2A93" w:rsidP="007D2A93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государственной наблюдательной сети, в </w:t>
      </w:r>
      <w:bookmarkStart w:id="0" w:name="_Hlk182575076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Воскресенске, Дзержинском, Клину, Коломне, Мытищах</w:t>
      </w:r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Подольске, Серпухове, Щелкове и Электростали уровень загрязнения атмосферного воздуха оценивался как низкий (СИ≤1 и НП=0%).  </w:t>
      </w:r>
    </w:p>
    <w:p w:rsidR="007D2A93" w:rsidRDefault="007D2A93" w:rsidP="007D2A9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формальдегида составили: в Подольске –               1,4 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Серпухове – 1,1 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</w:p>
    <w:p w:rsidR="007D2A93" w:rsidRDefault="007D2A93" w:rsidP="007D2A9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и декабрем 2023 года уровень загрязнения атмосферного воздуха </w:t>
      </w:r>
      <w:bookmarkStart w:id="1" w:name="_Hlk184827493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Клину, Коломне, Мытищах, Подольске, Серпухове, Щелкове </w:t>
      </w:r>
      <w:bookmarkEnd w:id="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Электростали не изменился. </w:t>
      </w:r>
    </w:p>
    <w:p w:rsidR="007D2A93" w:rsidRDefault="007D2A93" w:rsidP="007D2A9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bookmarkStart w:id="2" w:name="_Hlk150454416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данным автоматизированных стационарных пунктов территориальной системы наблюдений Московской области</w:t>
      </w:r>
      <w:bookmarkEnd w:id="2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городах Домодедове, Ногинске, Орехове-Зуеве            и Раменском (СИ≤1; НП=0%) уровень загрязнения атмосферного воздуха оценивался как низкий. Среднемесячные концентрации определяемых загрязняющих веществ в городах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Ногинск, Домодедово, Орехово-Зуево и Раменское не превысили установленных гигиенических нормативов. По сравнению с предыдущем месяцем уровень загрязнения атмосферного воздуха в городах Домодедове, Ногинске,  Орехово-Зуеве и Раменском       не изменился.  </w:t>
      </w:r>
    </w:p>
    <w:p w:rsidR="007D2A93" w:rsidRDefault="007D2A93" w:rsidP="007D2A9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Сравнительная оценка уровня загрязнения воздуха в Домодедове, Ногинске, Орехово-Зуеве и Раменском с декабрем 2023 года не проводилась, поскольку оборудование в декабре 2023 г. находилось на ежегодном техническом обслуживании.</w:t>
      </w:r>
    </w:p>
    <w:p w:rsidR="007D2A93" w:rsidRDefault="007D2A93" w:rsidP="007D2A9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3" w:name="_Hlk108631533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декабря эпизодических обследований  загрязнения  атмосферного  воздуха  Московской  области  </w:t>
      </w:r>
      <w:bookmarkEnd w:id="3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г. Серпухов  (бульвар 65 лет Победы, д. 4  и ул. Химиков, д. 1), г. Щелково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ул. Московская, д. 134В и ул. Центральная, д. 71/1), г.о. Клин (г. Клин, Волоколамское ш., д. 25 и пл. Советская, д. 1, д. Новощапово, д. 2),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 Воскресенск (ул. Московская, д.32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ул. Вокзальная, ж/д ст. Воскресенск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),              г. Видное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ул. 8-я Линия, д. 10Б и Каширское ш., 30-й км, д. 7, стр. 1),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Мытищи          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ул. Фрунзе, вл. 11 и ул. Силикатная, 36),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Электросталь (ул. Второва, д. 10 и бульвар    60-летия Победы, д. 14) показали, что 24 декабря в г. Электросталь на ул. Второва, д.10 концентрация диоксида азота составила 1,2 ПДК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м.р.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остальных точках отбора проб воздуха указанных городов содержание всех определяемых загрязняющих веществ           не превысило установленных гигиенических нормативов.</w:t>
      </w:r>
    </w:p>
    <w:p w:rsidR="007D2A93" w:rsidRDefault="007D2A93" w:rsidP="007D2A93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7D2A93" w:rsidRDefault="007D2A93" w:rsidP="007D2A93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декабре 2024 года на водных объектах Московской области наблюдался гидрологический режим зимней межени. На большинстве водных объектов отмечались ледовые явления. </w:t>
      </w:r>
    </w:p>
    <w:p w:rsidR="007D2A93" w:rsidRDefault="007D2A93" w:rsidP="007D2A93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0,9°С               (р. Нерская в черте деревни Маришкино) до 3,8°С (р. Ока ниже г. Серпухова).</w:t>
      </w:r>
    </w:p>
    <w:p w:rsidR="007D2A93" w:rsidRDefault="007D2A93" w:rsidP="007D2A93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рН=7,76 (при норме рН=6,5-8,5). Минимальное значение водородного показателя (рН=7,62) наблюдалось в воде р. Яузы в черте                 г. Москвы, а максимальное (рН=7,81) – в воде р. Нерской выше г. Куровское. </w:t>
      </w:r>
    </w:p>
    <w:p w:rsidR="007D2A93" w:rsidRDefault="007D2A93" w:rsidP="007D2A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Кислородный режим водных объектов региона в целом был удовлетворительным. Содержание растворенного в воде кислорода составляло в среднем 6,57 мг/л (при норме         не ниже 4,0 мг/л). Минимальное содержание растворенного в воде кислорода (4,21 мг/л) было зарегистрировано в воде р. Воймеги ниже г. Рошали, а максимальное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(7,55 мг/л) –     в воде р. Москвы у поселка Ильинское.</w:t>
      </w:r>
    </w:p>
    <w:p w:rsidR="007D2A93" w:rsidRDefault="007D2A93" w:rsidP="007D2A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Концентрация взвешенных веществ в воде водных объектов составляла в среднем                                                 8,8 мг/л, при этом максимальное содержание взвешенных веществ (16,7 мг/л) было зарегистрировано в воде р. Протвы ниже г. Вереи, а минимальное (1,3 мг/л) – в воде Иваньковского водохранилища у г. Дубны.</w:t>
      </w:r>
    </w:p>
    <w:p w:rsidR="007D2A93" w:rsidRDefault="007D2A93" w:rsidP="007D2A9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>Содержание легкоокисляемых органических веществ по БПК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среднем                 не превышало 3 ПДК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а содержание</w:t>
      </w:r>
      <w: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трудноокисляемых органических веществ по ХПК было в пределах норматива ПДК. Максимальное содержание легкоокисляемых органических веществ по БПК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>
        <w:rPr>
          <w:rFonts w:ascii="Times New Roman" w:eastAsia="Calibri" w:hAnsi="Times New Roman" w:cs="Times New Roman"/>
          <w:sz w:val="24"/>
          <w:szCs w:val="24"/>
        </w:rPr>
        <w:t>(7 ПДК, уровень высокого загрязнения /ВЗ/) было зарегистрировано в воде р. Пахры ниже г. Подольска (ниже места впадения ручья Черного), а трудноокисляемых органических веществ по ХПК (9 ПДК) - в воде р. Воймеги выше г. Рошали. Минимальное содержание легкоокисляемых органических веществ        по БПК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трудноокисляемых органических веществ по ХПК (менее нормативов ПДК) было зарегистрировано в воде Иваньковского водохранилища у г. Дубны.</w:t>
      </w:r>
    </w:p>
    <w:p w:rsidR="007D2A93" w:rsidRDefault="007D2A93" w:rsidP="007D2A9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не превышала норматива ПДК, аммонийного азота – 4 ПДК, нитритного азота - 5 ПДК. Максимальное содержание нитратного азота (3 ПДК) было зарегистрировано в воде р. Москвы выше деревни Нижнее Мячково, нитритного азота (18 ПДК, уровень ВЗ) – в воде р. Клязьмы ниже                         г. Лосино-Петровского, аммонийного азота (21 ПДК, уровень ВЗ) - в воде р. Воймеги ниже г. Рошали. Минимальное (менее ПДК) содержание нитритного азота было отмечено в воде Иваньковского водохранилища у г. Дубны, аммонийного азота – в воде р. Оки выше г. Каширы. </w:t>
      </w:r>
    </w:p>
    <w:p w:rsidR="007D2A93" w:rsidRDefault="007D2A93" w:rsidP="007D2A9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тяжелых металлов в воде водных объектов региона в целом было невысоким: концентрации ионов хрома шестивалентного, свинца и никеля в среднем         не превышали нормативов ПДК, ионов цинка и меди – 2 ПДК. Максимальное содержание ионов меди (4 ПДК) было зарегистрировано в воде р. Москвы ниже деревни Нижнее мячково, ионов цинка (7 ПДК) – в воде р. Рожаи в черте деревни Домодедово.  </w:t>
      </w:r>
    </w:p>
    <w:p w:rsidR="007D2A93" w:rsidRDefault="007D2A93" w:rsidP="007D2A9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Содержание формальдегида, нефтепродуктов и синтетических поверхностно-активных веществ (СПАВ) в среднем не превышало нормативов ПДК, фенолов – 2 ПДК. Максимальное содержание СПАВ (3 ПДК) было отмечено в воде р. Кунья выше                 г. Краснозаводска, нефтепродуктов (3 ПДК) - в воде р. Москвы ниже г. Воскресенска, фенолов (5 ПДК) – в воде р. Москвы в черте г. Коломны.</w:t>
      </w:r>
    </w:p>
    <w:p w:rsidR="007D2A93" w:rsidRDefault="007D2A93" w:rsidP="007D2A9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ab/>
        <w:t xml:space="preserve">Всего в декабре 2024 года на водных объектах региона было зарегистрировано                                                                                                                                    24 случая ВЗ (таблица 1), случаев экстремально высокого загрязнения (ЭВЗ) зарегистрировано не было. Для сравнения: в декабре 2023 года было зарегистрировано                     12 случаев ВЗ, а случаев ЭВЗ зарегистрировано также не было. </w:t>
      </w:r>
    </w:p>
    <w:p w:rsidR="007D2A93" w:rsidRDefault="007D2A93" w:rsidP="007D2A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декабрем 2023 года в отчетный период в водных объектах Московского региона снизилось содержание взвешенных веществ и растворенного в воде кислорода, повысились концентрации аммонийного азота. По остальным контролируемым показателям качества воды существенных изменений не было отмечено.  </w:t>
      </w:r>
    </w:p>
    <w:p w:rsidR="007D2A93" w:rsidRDefault="007D2A93" w:rsidP="007D2A9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7D2A93" w:rsidRDefault="007D2A93" w:rsidP="007D2A93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7D2A93" w:rsidRDefault="007D2A93" w:rsidP="007D2A93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декабре 2024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7D2A93" w:rsidTr="007D2A93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 w:rsidP="00F371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Концентрация(ПДК)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7D2A93" w:rsidTr="007D2A93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аммонийный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12.12.2024</w:t>
            </w:r>
          </w:p>
        </w:tc>
      </w:tr>
      <w:tr w:rsidR="007D2A93" w:rsidTr="007D2A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10.12.2024</w:t>
            </w:r>
          </w:p>
        </w:tc>
      </w:tr>
      <w:tr w:rsidR="007D2A93" w:rsidTr="007D2A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Закза в черте деревни Большое Сареево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05.12.2024</w:t>
            </w:r>
          </w:p>
        </w:tc>
      </w:tr>
      <w:tr w:rsidR="007D2A93" w:rsidTr="007D2A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Клязьма ниже г. Лосино-Петровского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18.12.2024</w:t>
            </w:r>
          </w:p>
        </w:tc>
      </w:tr>
      <w:tr w:rsidR="007D2A93" w:rsidTr="007D2A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Клязьма ниже г. Щелково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18.12.2024</w:t>
            </w:r>
          </w:p>
        </w:tc>
      </w:tr>
      <w:tr w:rsidR="007D2A93" w:rsidTr="007D2A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Закза в черте деревни Большое Сареево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05.12.2024 </w:t>
            </w:r>
          </w:p>
        </w:tc>
      </w:tr>
      <w:tr w:rsidR="007D2A93" w:rsidTr="007D2A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10.12.2024</w:t>
            </w:r>
          </w:p>
        </w:tc>
      </w:tr>
      <w:tr w:rsidR="007D2A93" w:rsidTr="007D2A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12.12.2024</w:t>
            </w:r>
          </w:p>
        </w:tc>
      </w:tr>
      <w:tr w:rsidR="007D2A93" w:rsidTr="007D2A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 w:rsidP="00F3714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Бесединского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17.12.2024</w:t>
            </w:r>
          </w:p>
        </w:tc>
      </w:tr>
      <w:tr w:rsidR="007D2A93" w:rsidTr="007D2A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 w:rsidP="00F3714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10.12.2024</w:t>
            </w:r>
          </w:p>
        </w:tc>
      </w:tr>
      <w:tr w:rsidR="007D2A93" w:rsidTr="007D2A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 w:rsidP="00F3714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Клязьма выше г. Павловского Посада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18.12.2024</w:t>
            </w:r>
          </w:p>
        </w:tc>
      </w:tr>
      <w:tr w:rsidR="007D2A93" w:rsidTr="007D2A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 w:rsidP="007D2A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10.12.2024</w:t>
            </w:r>
          </w:p>
        </w:tc>
      </w:tr>
      <w:tr w:rsidR="007D2A93" w:rsidTr="007D2A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        р. Битцы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10.12.2024</w:t>
            </w:r>
          </w:p>
        </w:tc>
      </w:tr>
      <w:tr w:rsidR="007D2A93" w:rsidTr="007D2A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Клязьма ниже г. Павловского Посада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18.12.2024</w:t>
            </w:r>
          </w:p>
        </w:tc>
      </w:tr>
      <w:tr w:rsidR="007D2A93" w:rsidTr="007D2A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ручья Черного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10.12.2024</w:t>
            </w:r>
          </w:p>
        </w:tc>
      </w:tr>
      <w:tr w:rsidR="007D2A93" w:rsidTr="007D2A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10.12.2024</w:t>
            </w:r>
          </w:p>
        </w:tc>
      </w:tr>
      <w:tr w:rsidR="007D2A93" w:rsidTr="007D2A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 органические вещества по БПК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ручья Черного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10.12.2024</w:t>
            </w:r>
          </w:p>
        </w:tc>
      </w:tr>
      <w:tr w:rsidR="007D2A93" w:rsidTr="007D2A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Протва ниже    г. Вереи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09.12.2024</w:t>
            </w:r>
          </w:p>
        </w:tc>
      </w:tr>
      <w:tr w:rsidR="007D2A93" w:rsidTr="007D2A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        р. Битцы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10.12.2024</w:t>
            </w:r>
          </w:p>
        </w:tc>
      </w:tr>
      <w:tr w:rsidR="007D2A93" w:rsidTr="007D2A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Бесединского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11.12.2024</w:t>
            </w:r>
          </w:p>
        </w:tc>
      </w:tr>
      <w:tr w:rsidR="007D2A93" w:rsidTr="007D2A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Протва выше    г. Вереи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09.12.2024</w:t>
            </w:r>
          </w:p>
        </w:tc>
      </w:tr>
      <w:tr w:rsidR="007D2A93" w:rsidTr="007D2A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10.12.2024</w:t>
            </w:r>
          </w:p>
        </w:tc>
      </w:tr>
      <w:tr w:rsidR="007D2A93" w:rsidTr="007D2A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.12.2024</w:t>
            </w:r>
          </w:p>
        </w:tc>
      </w:tr>
      <w:tr w:rsidR="007D2A93" w:rsidTr="007D2A9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10.12.2024</w:t>
            </w:r>
          </w:p>
        </w:tc>
      </w:tr>
    </w:tbl>
    <w:p w:rsidR="007D2A93" w:rsidRDefault="007D2A93" w:rsidP="007D2A93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рамках мониторинга качества воды в р. Москве в декабре 2024 года были проанализированы осредненные данные по содержанию ряда загрязняющих веществ (легкоокисляемые органические вещества по БПК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        в речной воде на расположенном в границах города участке реки от фонового створа (поселок Ильинское) и контрольного створа (в районе Бабьегородской плотины)               до замыкающего створа (Бесединский мост МКАД). </w:t>
      </w:r>
    </w:p>
    <w:p w:rsidR="007D2A93" w:rsidRDefault="007D2A93" w:rsidP="007D2A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Результаты анализа выявили четкую закономерность в изменении качества речной воды по содержанию вышеуказанных загрязняющих веществ. </w:t>
      </w:r>
    </w:p>
    <w:p w:rsidR="007D2A93" w:rsidRDefault="007D2A93" w:rsidP="007D2A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Так, если в фоновом створе (у поселка Ильинское) концентрации ионов меди, фенолов, легкоокисляемых органических веществ по БПК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нефтепродуктов в среднем находились в пределах от менее ПДК до 2 ПДК, в контрольном створе (у Бабьегородской плотины) – в пределах от 1-3 ПДК, то в районе замыкающего створа (у Бесединского моста МКАД) они повышались до 2-4 ПДК (рисунок 2).  </w:t>
      </w:r>
    </w:p>
    <w:p w:rsidR="007D2A93" w:rsidRDefault="007D2A93" w:rsidP="007D2A9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36"/>
          <w:szCs w:val="36"/>
          <w:lang w:eastAsia="ru-RU"/>
        </w:rPr>
      </w:pPr>
    </w:p>
    <w:p w:rsidR="007D2A93" w:rsidRDefault="007D2A93" w:rsidP="007D2A93">
      <w:pPr>
        <w:suppressAutoHyphens/>
        <w:spacing w:line="360" w:lineRule="auto"/>
        <w:ind w:firstLine="142"/>
        <w:jc w:val="center"/>
        <w:rPr>
          <w:sz w:val="24"/>
          <w:szCs w:val="24"/>
        </w:rPr>
      </w:pPr>
      <w:bookmarkStart w:id="4" w:name="_Hlk105070363"/>
      <w:bookmarkEnd w:id="4"/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0105B97" wp14:editId="6E96947B">
            <wp:extent cx="5017135" cy="2568575"/>
            <wp:effectExtent l="0" t="0" r="12065" b="22225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D2A93" w:rsidRDefault="007D2A93" w:rsidP="007D2A9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7D2A93" w:rsidRDefault="007D2A93" w:rsidP="007D2A93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в черте г. Москвы в декабре 2024 года</w:t>
      </w:r>
    </w:p>
    <w:p w:rsidR="007D2A93" w:rsidRDefault="007D2A93" w:rsidP="007D2A9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:rsidR="007D2A93" w:rsidRDefault="007D2A93" w:rsidP="007D2A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 декабре 2024 года на территории Москвы                     и Московской области оставалась стабильной. Значения плотности радиоактивных выпадений из атмосферы и мощности амбиентного эквивалента дозы гамма-излучения (МАЭД) были близки к фоновым.</w:t>
      </w:r>
    </w:p>
    <w:p w:rsidR="007D2A93" w:rsidRDefault="007D2A93" w:rsidP="007D2A9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Средние значения концентрации радиоактивных аэрозолей в воздухе, по данным метеостанций (МС) Подмосковная и Тушино, составляли 2,5х10</w:t>
      </w:r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4,4х10</w:t>
      </w:r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соответственно.</w:t>
      </w:r>
    </w:p>
    <w:p w:rsidR="007D2A93" w:rsidRDefault="007D2A93" w:rsidP="007D2A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МС, расположенных в районе Балчуга,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                   от 0,5 до 0,8 Бк/м</w:t>
      </w:r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7D2A93" w:rsidRDefault="007D2A93" w:rsidP="007D2A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Средние значения МАЭД по данным МС ВДНХ, Балчуг, Тушино, Немчиновка, Подмосковная, Клин, Дмитров, Волоколамск, Можайск, Ново-Иерусалим, Павловский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0,14 мкЗв/ч.</w:t>
      </w:r>
    </w:p>
    <w:p w:rsidR="007D2A93" w:rsidRDefault="007D2A93" w:rsidP="007D2A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7D2A93" w:rsidRDefault="007D2A93" w:rsidP="007D2A9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D2A93" w:rsidRDefault="007D2A93" w:rsidP="007D2A9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Приложение: на 9 л. в 1 экз.</w:t>
      </w:r>
    </w:p>
    <w:p w:rsidR="007D2A93" w:rsidRDefault="007D2A93" w:rsidP="007D2A9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D2A93" w:rsidRDefault="007D2A93" w:rsidP="007D2A9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D2A93" w:rsidRDefault="007D2A93" w:rsidP="007D2A9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D2A93" w:rsidRDefault="007D2A93" w:rsidP="007D2A9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D2A93" w:rsidRDefault="007D2A93" w:rsidP="007D2A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D2A93" w:rsidRDefault="007D2A93" w:rsidP="007D2A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D2A93" w:rsidRDefault="007D2A93" w:rsidP="007D2A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Приложение 1</w:t>
      </w:r>
    </w:p>
    <w:p w:rsidR="007D2A93" w:rsidRDefault="007D2A93" w:rsidP="007D2A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7D2A93" w:rsidRDefault="007D2A93" w:rsidP="007D2A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7D2A93" w:rsidRDefault="007D2A93" w:rsidP="007D2A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D2A93" w:rsidRDefault="007D2A93" w:rsidP="007D2A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21CB30B7" wp14:editId="0B18A3E4">
            <wp:extent cx="6019165" cy="7084695"/>
            <wp:effectExtent l="0" t="0" r="635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A93" w:rsidRDefault="007D2A93" w:rsidP="007D2A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7D2A93" w:rsidRDefault="007D2A93" w:rsidP="007D2A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D2A93" w:rsidRDefault="007D2A93" w:rsidP="007D2A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D2A93" w:rsidRDefault="007D2A93" w:rsidP="007D2A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D2A93" w:rsidRDefault="007D2A93" w:rsidP="007D2A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D2A93" w:rsidRDefault="007D2A93" w:rsidP="007D2A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D2A93" w:rsidRDefault="007D2A93" w:rsidP="007D2A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D2A93" w:rsidRDefault="007D2A93" w:rsidP="007D2A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D2A93" w:rsidRDefault="007D2A93" w:rsidP="007D2A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7D2A93" w:rsidTr="007D2A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</w:p>
        </w:tc>
      </w:tr>
      <w:tr w:rsidR="007D2A93" w:rsidTr="007D2A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D2A93" w:rsidTr="007D2A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Ср. Овчинниковский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7D2A93" w:rsidTr="007D2A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Б. Сухаревский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7D2A93" w:rsidTr="007D2A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7D2A93" w:rsidTr="007D2A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пром.,</w:t>
            </w:r>
          </w:p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(промзона «Верхние Котлы»,</w:t>
            </w:r>
          </w:p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промзона «Нагатино»)</w:t>
            </w:r>
          </w:p>
        </w:tc>
      </w:tr>
      <w:tr w:rsidR="007D2A93" w:rsidTr="007D2A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4-й Вешняковский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7D2A93" w:rsidTr="007D2A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7D2A93" w:rsidTr="007D2A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Шоссейая,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(промзона «Люблино-Перерва»)</w:t>
            </w:r>
          </w:p>
        </w:tc>
      </w:tr>
      <w:tr w:rsidR="007D2A93" w:rsidTr="007D2A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«Хорошево-Мневники» (Магистральная промзона)</w:t>
            </w:r>
          </w:p>
        </w:tc>
      </w:tr>
      <w:tr w:rsidR="007D2A93" w:rsidTr="007D2A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7D2A93" w:rsidTr="007D2A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Чертановская,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«Чертаново Центральное»</w:t>
            </w:r>
          </w:p>
        </w:tc>
      </w:tr>
      <w:tr w:rsidR="007D2A93" w:rsidTr="007D2A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Долгопрудная,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(промзона «Коровино»)</w:t>
            </w:r>
          </w:p>
        </w:tc>
      </w:tr>
      <w:tr w:rsidR="007D2A93" w:rsidTr="007D2A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Ивантеевская,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«Богородское»</w:t>
            </w:r>
          </w:p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(промзона «Калошино»)</w:t>
            </w:r>
          </w:p>
        </w:tc>
      </w:tr>
      <w:tr w:rsidR="007D2A93" w:rsidTr="007D2A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7D2A93" w:rsidTr="007D2A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Шипиловская,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«Зябликово»</w:t>
            </w:r>
          </w:p>
        </w:tc>
      </w:tr>
      <w:tr w:rsidR="007D2A93" w:rsidTr="007D2A9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Братеевская,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«Братеево»</w:t>
            </w:r>
          </w:p>
          <w:p w:rsidR="007D2A93" w:rsidRDefault="007D2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(промзона «Чагино»)</w:t>
            </w:r>
          </w:p>
        </w:tc>
      </w:tr>
    </w:tbl>
    <w:p w:rsidR="007D2A93" w:rsidRDefault="007D2A93" w:rsidP="007D2A9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D2A93" w:rsidRDefault="007D2A93" w:rsidP="007D2A9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D2A93" w:rsidRDefault="007D2A93" w:rsidP="007D2A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D2A93" w:rsidRDefault="007D2A93" w:rsidP="007D2A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A93" w:rsidRDefault="007D2A93" w:rsidP="007D2A9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7D2A93" w:rsidRDefault="007D2A93" w:rsidP="007D2A9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       на территории г. Москвы и Московской области, </w:t>
      </w:r>
    </w:p>
    <w:p w:rsidR="007D2A93" w:rsidRDefault="007D2A93" w:rsidP="007D2A9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7D2A93" w:rsidRDefault="007D2A93" w:rsidP="007D2A9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7D2A93" w:rsidRDefault="007D2A93" w:rsidP="007D2A9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581"/>
        <w:gridCol w:w="3379"/>
        <w:gridCol w:w="1807"/>
        <w:gridCol w:w="1192"/>
        <w:gridCol w:w="2659"/>
      </w:tblGrid>
      <w:tr w:rsidR="007D2A93" w:rsidTr="007D2A93">
        <w:trPr>
          <w:trHeight w:val="300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кар-те-</w:t>
            </w:r>
          </w:p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НАИМЕНОВА-НИЕ</w:t>
            </w:r>
          </w:p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наблю-дений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Иваньковское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 w:rsidP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(восточ-нее) плотины Ивань-ковской ГЭС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Лама (впадает в Иваньков-ское водохранилище)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 Вер-билки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 Вер-билки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7D2A93" w:rsidRDefault="007D2A93" w:rsidP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Кра-сноза-водск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7D2A93" w:rsidRDefault="007D2A93" w:rsidP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Крас-ноза-водск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Трехсвятское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 Трех-святское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7D2A93" w:rsidTr="007D2A93">
        <w:trPr>
          <w:trHeight w:val="595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           г. Серпу-хов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           г. Серпу-хов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Каши-ра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Каши-ра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Колом-на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Колом-на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7D2A93" w:rsidTr="007D2A93">
        <w:trPr>
          <w:trHeight w:val="545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Протва (приток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D2A93" w:rsidRDefault="007D2A93" w:rsidP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Протва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7D2A93" w:rsidRDefault="007D2A93" w:rsidP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           г. Наро-Фоминск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Сер-пухов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Сер-пухов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Лопасня (приток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  г. Чехов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Лопасня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Городна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 Город-на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7D2A93" w:rsidTr="007D2A93">
        <w:trPr>
          <w:trHeight w:val="588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 Барсу-ки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Красновидово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 w:rsidP="00F3714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Кра-снови-дово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Звени-город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Звени-город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Ильинское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Мос-ква, 0,5 км выше водо-забора Рублев-ской водопро-водной станции, 0,1 км ниже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 Иль-инское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D2A93" w:rsidRDefault="007D2A93" w:rsidP="00F3714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Мос-ква; 0,3 км ниже Бабьего-родской плотины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 w:rsidP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районе Беседин-ского моста МКАД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 w:rsidP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 км выше д. Н. Мяч-ково; 1,5 км выше места впадения    р. Пахра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д. Н. Мяч-ково; 1,0 км ниже места впадения </w:t>
            </w:r>
          </w:p>
          <w:p w:rsidR="007D2A93" w:rsidRDefault="007D2A93" w:rsidP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р. Пехор-ка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7D2A93" w:rsidRDefault="007D2A93" w:rsidP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Вос-кресенск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Вос-кресенск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D2A93" w:rsidRDefault="007D2A93" w:rsidP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Коломна; 0,1 км выше устья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Рузское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Солодово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Соло-дово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7D2A93" w:rsidTr="007D2A93">
        <w:trPr>
          <w:trHeight w:val="537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Озернинское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Нововол-ково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Ново-волково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Истринское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 w:rsidP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Пятни-ца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</w:t>
            </w:r>
          </w:p>
          <w:p w:rsidR="007D2A93" w:rsidRDefault="007D2A93" w:rsidP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 Пав-ловская Слобода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</w:p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7D2A93" w:rsidRDefault="007D2A93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Боль-шое Сареево; </w:t>
            </w:r>
          </w:p>
          <w:p w:rsidR="007D2A93" w:rsidRDefault="007D2A93" w:rsidP="007D2A93">
            <w:pPr>
              <w:tabs>
                <w:tab w:val="num" w:pos="36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 км выше устья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Закза (приток </w:t>
            </w:r>
          </w:p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D2A93" w:rsidRDefault="007D2A93" w:rsidP="00F3714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 Боль-шое Сареево;     0,3 км выше устья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</w:p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7D2A93" w:rsidRDefault="007D2A93" w:rsidP="007D2A93">
            <w:pPr>
              <w:tabs>
                <w:tab w:val="num" w:pos="3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Мос-ква; 0,1 км выше устья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По-дольск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По-</w:t>
            </w:r>
          </w:p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дольск, ниже места впадения руч. Чер-ный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D2A93" w:rsidRDefault="007D2A93" w:rsidP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По-дольск, ниже места впадения    р. Битца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 Ниж-нее Мяч-ково; 0,01 км выше устья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 Домо-дедово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Нерская (приток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0,2 км выше г. Куров-ское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 w:rsidP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г. Куров-ское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 Зуевский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7D2A93" w:rsidRDefault="007D2A93" w:rsidP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 Ма-ришки-но; 0,1 км выше устья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Клязьма (приток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D2A93" w:rsidRDefault="007D2A93" w:rsidP="00F3714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Щёл-ково</w:t>
            </w:r>
            <w:bookmarkStart w:id="5" w:name="_GoBack"/>
            <w:bookmarkEnd w:id="5"/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D2A93" w:rsidRDefault="007D2A93" w:rsidP="007D2A93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Щёл-ково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D2A93" w:rsidRDefault="007D2A93" w:rsidP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Лоси-но-Пет-ровский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Лосино-Петровский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Пав-ловский Посад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D2A93" w:rsidRDefault="007D2A93" w:rsidP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Пав-ловский Посад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Оре-хово-Зуево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Оре-хово-Зуево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Воря (приток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Красноар-мейск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D2A93" w:rsidRDefault="007D2A93" w:rsidP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Кра-сноар-мейск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Воря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Красноар-мейск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D2A93" w:rsidRDefault="007D2A93" w:rsidP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Кра-сноар-мейск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Воймега (приток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Ро-шаль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7D2A93" w:rsidTr="007D2A93">
        <w:trPr>
          <w:trHeight w:val="300"/>
        </w:trPr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Воймега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93" w:rsidRDefault="007D2A9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7D2A93" w:rsidRDefault="007D2A93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Ро-шаль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D2A93" w:rsidRDefault="007D2A9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7D2A93" w:rsidRDefault="007D2A93" w:rsidP="007D2A93">
      <w:pPr>
        <w:rPr>
          <w:rFonts w:ascii="Times New Roman" w:eastAsia="Calibri" w:hAnsi="Times New Roman" w:cs="Times New Roman"/>
          <w:sz w:val="24"/>
          <w:szCs w:val="24"/>
        </w:rPr>
      </w:pPr>
    </w:p>
    <w:p w:rsidR="007D2A93" w:rsidRDefault="007D2A93" w:rsidP="007D2A93">
      <w:pPr>
        <w:rPr>
          <w:rFonts w:ascii="Times New Roman" w:eastAsia="Calibri" w:hAnsi="Times New Roman" w:cs="Times New Roman"/>
          <w:sz w:val="24"/>
          <w:szCs w:val="24"/>
        </w:rPr>
      </w:pPr>
    </w:p>
    <w:p w:rsidR="007D2A93" w:rsidRDefault="007D2A93" w:rsidP="007D2A93">
      <w:pPr>
        <w:rPr>
          <w:rFonts w:ascii="Times New Roman" w:eastAsia="Calibri" w:hAnsi="Times New Roman" w:cs="Times New Roman"/>
          <w:sz w:val="24"/>
          <w:szCs w:val="24"/>
        </w:rPr>
      </w:pPr>
    </w:p>
    <w:p w:rsidR="007D2A93" w:rsidRDefault="007D2A93" w:rsidP="007D2A93">
      <w:pPr>
        <w:rPr>
          <w:rFonts w:ascii="Times New Roman" w:eastAsia="Calibri" w:hAnsi="Times New Roman" w:cs="Times New Roman"/>
          <w:sz w:val="24"/>
          <w:szCs w:val="24"/>
        </w:rPr>
      </w:pPr>
    </w:p>
    <w:p w:rsidR="007D2A93" w:rsidRDefault="007D2A93" w:rsidP="007D2A93">
      <w:pPr>
        <w:rPr>
          <w:rFonts w:ascii="Times New Roman" w:eastAsia="Calibri" w:hAnsi="Times New Roman" w:cs="Times New Roman"/>
          <w:sz w:val="24"/>
          <w:szCs w:val="24"/>
        </w:rPr>
      </w:pPr>
    </w:p>
    <w:p w:rsidR="007D2A93" w:rsidRDefault="007D2A93" w:rsidP="007D2A93"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541946" wp14:editId="745A7C27">
            <wp:extent cx="6066790" cy="4770755"/>
            <wp:effectExtent l="0" t="0" r="0" b="0"/>
            <wp:docPr id="1" name="Рисунок 1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A93" w:rsidRDefault="007D2A93" w:rsidP="007D2A93"/>
    <w:p w:rsidR="007D2A93" w:rsidRDefault="007D2A93" w:rsidP="007D2A93"/>
    <w:p w:rsidR="007D2A93" w:rsidRDefault="007D2A93" w:rsidP="007D2A93"/>
    <w:p w:rsidR="00580EB3" w:rsidRDefault="00580EB3"/>
    <w:sectPr w:rsidR="00580EB3" w:rsidSect="00780C8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7BF" w:rsidRDefault="009E57BF" w:rsidP="007D2A93">
      <w:pPr>
        <w:spacing w:after="0" w:line="240" w:lineRule="auto"/>
      </w:pPr>
      <w:r>
        <w:separator/>
      </w:r>
    </w:p>
  </w:endnote>
  <w:endnote w:type="continuationSeparator" w:id="0">
    <w:p w:rsidR="009E57BF" w:rsidRDefault="009E57BF" w:rsidP="007D2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C8C" w:rsidRDefault="00780C8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C8C" w:rsidRDefault="00780C8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C8C" w:rsidRDefault="00780C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7BF" w:rsidRDefault="009E57BF" w:rsidP="007D2A93">
      <w:pPr>
        <w:spacing w:after="0" w:line="240" w:lineRule="auto"/>
      </w:pPr>
      <w:r>
        <w:separator/>
      </w:r>
    </w:p>
  </w:footnote>
  <w:footnote w:type="continuationSeparator" w:id="0">
    <w:p w:rsidR="009E57BF" w:rsidRDefault="009E57BF" w:rsidP="007D2A93">
      <w:pPr>
        <w:spacing w:after="0" w:line="240" w:lineRule="auto"/>
      </w:pPr>
      <w:r>
        <w:continuationSeparator/>
      </w:r>
    </w:p>
  </w:footnote>
  <w:footnote w:id="1">
    <w:p w:rsidR="007D2A93" w:rsidRDefault="007D2A93" w:rsidP="007D2A93">
      <w:pPr>
        <w:pStyle w:val="31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b"/>
        </w:rPr>
        <w:footnoteRef/>
      </w:r>
      <w: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оценивается при сравнении  концентраций загрязняющих веществ  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7D2A93" w:rsidRDefault="007D2A93" w:rsidP="007D2A9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• ПДКм.р. – предельно допустимая максимальная разовая концентрация загрязняющего вещества              в воздухе населенных мест, в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7D2A93" w:rsidRDefault="007D2A93" w:rsidP="007D2A9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• ПДКс.с. – предельно допустимая среднесуточная концентрация загрязняющего вещества в воздухе населенных мест,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7D2A93" w:rsidRDefault="007D2A93" w:rsidP="007D2A9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7D2A93" w:rsidRDefault="007D2A93" w:rsidP="007D2A9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стандартный индекс СИ – наибольшая, измеренная за короткий период времени, концентрация загрязняющего вещества, деленная на ПДКм.р.;</w:t>
      </w:r>
    </w:p>
    <w:p w:rsidR="007D2A93" w:rsidRDefault="007D2A93" w:rsidP="007D2A9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 наибольшая повторяемость превышения ПДКм.р. – НП,%.</w:t>
      </w:r>
    </w:p>
    <w:p w:rsidR="007D2A93" w:rsidRDefault="007D2A93" w:rsidP="007D2A9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7D2A93" w:rsidRDefault="007D2A93" w:rsidP="007D2A9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• низкий при СИ =  0 - 1, НП = 0%;</w:t>
      </w:r>
    </w:p>
    <w:p w:rsidR="007D2A93" w:rsidRDefault="007D2A93" w:rsidP="007D2A9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• повышенный при СИ =2-4, НП = 1-19%;</w:t>
      </w:r>
    </w:p>
    <w:p w:rsidR="007D2A93" w:rsidRDefault="007D2A93" w:rsidP="007D2A9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• высокий при СИ=5-10, НП=20-50%;</w:t>
      </w:r>
    </w:p>
    <w:p w:rsidR="007D2A93" w:rsidRDefault="007D2A93" w:rsidP="007D2A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• очень высокий при СИ &gt;10, НП &gt;50%.</w:t>
      </w:r>
    </w:p>
    <w:p w:rsidR="007D2A93" w:rsidRDefault="007D2A93" w:rsidP="007D2A9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7D2A93" w:rsidRDefault="007D2A93" w:rsidP="007D2A93">
      <w:pPr>
        <w:pStyle w:val="a4"/>
        <w:rPr>
          <w:rFonts w:ascii="Times New Roman" w:hAnsi="Times New Roman"/>
        </w:rPr>
      </w:pPr>
    </w:p>
  </w:footnote>
  <w:footnote w:id="2">
    <w:p w:rsidR="007D2A93" w:rsidRDefault="007D2A93" w:rsidP="007D2A93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b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>Показатели загрязнения воды водных объектов приводятся в ПДК для воды водных объектов рыбохозяйственного значения</w:t>
      </w:r>
    </w:p>
    <w:p w:rsidR="007D2A93" w:rsidRDefault="007D2A93" w:rsidP="007D2A93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C8C" w:rsidRDefault="00780C8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9168709"/>
      <w:docPartObj>
        <w:docPartGallery w:val="Page Numbers (Top of Page)"/>
        <w:docPartUnique/>
      </w:docPartObj>
    </w:sdtPr>
    <w:sdtEndPr/>
    <w:sdtContent>
      <w:p w:rsidR="00780C8C" w:rsidRDefault="00780C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7145">
          <w:rPr>
            <w:noProof/>
          </w:rPr>
          <w:t>8</w:t>
        </w:r>
        <w:r>
          <w:fldChar w:fldCharType="end"/>
        </w:r>
      </w:p>
    </w:sdtContent>
  </w:sdt>
  <w:p w:rsidR="00780C8C" w:rsidRDefault="00780C8C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C8C" w:rsidRDefault="00780C8C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E49"/>
    <w:rsid w:val="00580EB3"/>
    <w:rsid w:val="00773E49"/>
    <w:rsid w:val="00780C8C"/>
    <w:rsid w:val="007D2A93"/>
    <w:rsid w:val="009E57BF"/>
    <w:rsid w:val="00A97FD2"/>
    <w:rsid w:val="00AF31D9"/>
    <w:rsid w:val="00F3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rongbecfa924-c6de-4457-b76f-127f0280c166">
    <w:name w:val="Strong_becfa924-c6de-4457-b76f-127f0280c166"/>
    <w:link w:val="a3"/>
    <w:rsid w:val="007D2A9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Strongbecfa924-c6de-4457-b76f-127f0280c166"/>
    <w:qFormat/>
    <w:rsid w:val="007D2A93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7D2A93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D2A93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7D2A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2A93"/>
  </w:style>
  <w:style w:type="paragraph" w:styleId="a8">
    <w:name w:val="footer"/>
    <w:basedOn w:val="a"/>
    <w:link w:val="a9"/>
    <w:uiPriority w:val="99"/>
    <w:unhideWhenUsed/>
    <w:rsid w:val="007D2A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2A93"/>
  </w:style>
  <w:style w:type="paragraph" w:styleId="3">
    <w:name w:val="Body Text 3"/>
    <w:basedOn w:val="a"/>
    <w:link w:val="30"/>
    <w:semiHidden/>
    <w:unhideWhenUsed/>
    <w:rsid w:val="007D2A9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7D2A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7D2A93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D2A93"/>
    <w:rPr>
      <w:rFonts w:ascii="Calibri" w:eastAsia="Calibri" w:hAnsi="Calibri" w:cs="Times New Roman"/>
      <w:sz w:val="16"/>
      <w:szCs w:val="16"/>
    </w:rPr>
  </w:style>
  <w:style w:type="character" w:customStyle="1" w:styleId="7">
    <w:name w:val="Основной текст (7)_"/>
    <w:basedOn w:val="a0"/>
    <w:link w:val="70"/>
    <w:locked/>
    <w:rsid w:val="007D2A93"/>
    <w:rPr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D2A93"/>
    <w:pPr>
      <w:widowControl w:val="0"/>
      <w:shd w:val="clear" w:color="auto" w:fill="FFFFFF"/>
      <w:spacing w:before="480" w:after="120" w:line="0" w:lineRule="atLeast"/>
      <w:jc w:val="center"/>
    </w:pPr>
    <w:rPr>
      <w:b/>
      <w:bCs/>
    </w:rPr>
  </w:style>
  <w:style w:type="paragraph" w:customStyle="1" w:styleId="aa">
    <w:name w:val="Знак"/>
    <w:basedOn w:val="a"/>
    <w:rsid w:val="007D2A9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b">
    <w:name w:val="footnote reference"/>
    <w:basedOn w:val="a0"/>
    <w:uiPriority w:val="99"/>
    <w:semiHidden/>
    <w:unhideWhenUsed/>
    <w:rsid w:val="007D2A93"/>
    <w:rPr>
      <w:vertAlign w:val="superscript"/>
    </w:rPr>
  </w:style>
  <w:style w:type="character" w:customStyle="1" w:styleId="1">
    <w:name w:val="Текст сноски Знак1"/>
    <w:basedOn w:val="a0"/>
    <w:uiPriority w:val="99"/>
    <w:semiHidden/>
    <w:rsid w:val="007D2A93"/>
    <w:rPr>
      <w:sz w:val="20"/>
      <w:szCs w:val="20"/>
    </w:rPr>
  </w:style>
  <w:style w:type="character" w:customStyle="1" w:styleId="10">
    <w:name w:val="Верхний колонтитул Знак1"/>
    <w:basedOn w:val="a0"/>
    <w:uiPriority w:val="99"/>
    <w:semiHidden/>
    <w:rsid w:val="007D2A93"/>
  </w:style>
  <w:style w:type="character" w:customStyle="1" w:styleId="11">
    <w:name w:val="Нижний колонтитул Знак1"/>
    <w:basedOn w:val="a0"/>
    <w:uiPriority w:val="99"/>
    <w:semiHidden/>
    <w:rsid w:val="007D2A93"/>
  </w:style>
  <w:style w:type="character" w:customStyle="1" w:styleId="310">
    <w:name w:val="Основной текст 3 Знак1"/>
    <w:basedOn w:val="a0"/>
    <w:uiPriority w:val="99"/>
    <w:semiHidden/>
    <w:rsid w:val="007D2A93"/>
    <w:rPr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7D2A93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rongbecfa924-c6de-4457-b76f-127f0280c166">
    <w:name w:val="Strong_becfa924-c6de-4457-b76f-127f0280c166"/>
    <w:link w:val="a3"/>
    <w:rsid w:val="007D2A9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Strongbecfa924-c6de-4457-b76f-127f0280c166"/>
    <w:qFormat/>
    <w:rsid w:val="007D2A93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7D2A93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D2A93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7D2A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2A93"/>
  </w:style>
  <w:style w:type="paragraph" w:styleId="a8">
    <w:name w:val="footer"/>
    <w:basedOn w:val="a"/>
    <w:link w:val="a9"/>
    <w:uiPriority w:val="99"/>
    <w:unhideWhenUsed/>
    <w:rsid w:val="007D2A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2A93"/>
  </w:style>
  <w:style w:type="paragraph" w:styleId="3">
    <w:name w:val="Body Text 3"/>
    <w:basedOn w:val="a"/>
    <w:link w:val="30"/>
    <w:semiHidden/>
    <w:unhideWhenUsed/>
    <w:rsid w:val="007D2A9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7D2A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7D2A93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D2A93"/>
    <w:rPr>
      <w:rFonts w:ascii="Calibri" w:eastAsia="Calibri" w:hAnsi="Calibri" w:cs="Times New Roman"/>
      <w:sz w:val="16"/>
      <w:szCs w:val="16"/>
    </w:rPr>
  </w:style>
  <w:style w:type="character" w:customStyle="1" w:styleId="7">
    <w:name w:val="Основной текст (7)_"/>
    <w:basedOn w:val="a0"/>
    <w:link w:val="70"/>
    <w:locked/>
    <w:rsid w:val="007D2A93"/>
    <w:rPr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D2A93"/>
    <w:pPr>
      <w:widowControl w:val="0"/>
      <w:shd w:val="clear" w:color="auto" w:fill="FFFFFF"/>
      <w:spacing w:before="480" w:after="120" w:line="0" w:lineRule="atLeast"/>
      <w:jc w:val="center"/>
    </w:pPr>
    <w:rPr>
      <w:b/>
      <w:bCs/>
    </w:rPr>
  </w:style>
  <w:style w:type="paragraph" w:customStyle="1" w:styleId="aa">
    <w:name w:val="Знак"/>
    <w:basedOn w:val="a"/>
    <w:rsid w:val="007D2A9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b">
    <w:name w:val="footnote reference"/>
    <w:basedOn w:val="a0"/>
    <w:uiPriority w:val="99"/>
    <w:semiHidden/>
    <w:unhideWhenUsed/>
    <w:rsid w:val="007D2A93"/>
    <w:rPr>
      <w:vertAlign w:val="superscript"/>
    </w:rPr>
  </w:style>
  <w:style w:type="character" w:customStyle="1" w:styleId="1">
    <w:name w:val="Текст сноски Знак1"/>
    <w:basedOn w:val="a0"/>
    <w:uiPriority w:val="99"/>
    <w:semiHidden/>
    <w:rsid w:val="007D2A93"/>
    <w:rPr>
      <w:sz w:val="20"/>
      <w:szCs w:val="20"/>
    </w:rPr>
  </w:style>
  <w:style w:type="character" w:customStyle="1" w:styleId="10">
    <w:name w:val="Верхний колонтитул Знак1"/>
    <w:basedOn w:val="a0"/>
    <w:uiPriority w:val="99"/>
    <w:semiHidden/>
    <w:rsid w:val="007D2A93"/>
  </w:style>
  <w:style w:type="character" w:customStyle="1" w:styleId="11">
    <w:name w:val="Нижний колонтитул Знак1"/>
    <w:basedOn w:val="a0"/>
    <w:uiPriority w:val="99"/>
    <w:semiHidden/>
    <w:rsid w:val="007D2A93"/>
  </w:style>
  <w:style w:type="character" w:customStyle="1" w:styleId="310">
    <w:name w:val="Основной текст 3 Знак1"/>
    <w:basedOn w:val="a0"/>
    <w:uiPriority w:val="99"/>
    <w:semiHidden/>
    <w:rsid w:val="007D2A93"/>
    <w:rPr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7D2A9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55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jpg"/><Relationship Id="rId1" Type="http://schemas.openxmlformats.org/officeDocument/2006/relationships/themeOverride" Target="../theme/themeOverride1.xml"/><Relationship Id="rId4" Type="http://schemas.openxmlformats.org/officeDocument/2006/relationships/oleObject" Target="file:///C:\Users\OMPV\Downloads\&#1044;&#1046;_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9380688539352068E-3"/>
          <c:y val="4.9675703288766755E-2"/>
          <c:w val="0.69331736433501212"/>
          <c:h val="0.550974561422328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[ДЖ_.xls]Лист1!$B$1:$B$2</c:f>
              <c:strCache>
                <c:ptCount val="1"/>
                <c:pt idx="0">
                  <c:v>концентрация, ПДК Медь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2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a:blipFill>
          </c:spPr>
          <c:invertIfNegative val="0"/>
          <c:cat>
            <c:strRef>
              <c:f>[ДЖ_.xls]Лист1!$A$3:$A$5</c:f>
              <c:strCache>
                <c:ptCount val="3"/>
                <c:pt idx="0">
                  <c:v>п. 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[ДЖ_.xls]Лист1!$B$3:$B$5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1.4</c:v>
                </c:pt>
                <c:pt idx="2">
                  <c:v>1.7</c:v>
                </c:pt>
              </c:numCache>
            </c:numRef>
          </c:val>
        </c:ser>
        <c:ser>
          <c:idx val="1"/>
          <c:order val="1"/>
          <c:tx>
            <c:strRef>
              <c:f>[ДЖ_.xls]Лист1!$C$1:$C$2</c:f>
              <c:strCache>
                <c:ptCount val="1"/>
                <c:pt idx="0">
                  <c:v>концентрация, ПДК Фенолы</c:v>
                </c:pt>
              </c:strCache>
            </c:strRef>
          </c:tx>
          <c:invertIfNegative val="0"/>
          <c:cat>
            <c:strRef>
              <c:f>[ДЖ_.xls]Лист1!$A$3:$A$5</c:f>
              <c:strCache>
                <c:ptCount val="3"/>
                <c:pt idx="0">
                  <c:v>п. 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[ДЖ_.xls]Лист1!$C$3:$C$5</c:f>
              <c:numCache>
                <c:formatCode>General</c:formatCode>
                <c:ptCount val="3"/>
                <c:pt idx="0">
                  <c:v>1.4</c:v>
                </c:pt>
                <c:pt idx="1">
                  <c:v>2.1</c:v>
                </c:pt>
                <c:pt idx="2">
                  <c:v>2.7</c:v>
                </c:pt>
              </c:numCache>
            </c:numRef>
          </c:val>
        </c:ser>
        <c:ser>
          <c:idx val="2"/>
          <c:order val="2"/>
          <c:tx>
            <c:strRef>
              <c:f>[ДЖ_.xls]Лист1!$D$1:$D$2</c:f>
              <c:strCache>
                <c:ptCount val="1"/>
                <c:pt idx="0">
                  <c:v>концентрация, ПДК Нефтепродукты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3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a:blipFill>
          </c:spPr>
          <c:invertIfNegative val="0"/>
          <c:cat>
            <c:strRef>
              <c:f>[ДЖ_.xls]Лист1!$A$3:$A$5</c:f>
              <c:strCache>
                <c:ptCount val="3"/>
                <c:pt idx="0">
                  <c:v>п. 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[ДЖ_.xls]Лист1!$D$3:$D$5</c:f>
              <c:numCache>
                <c:formatCode>General</c:formatCode>
                <c:ptCount val="3"/>
                <c:pt idx="0">
                  <c:v>0.4</c:v>
                </c:pt>
                <c:pt idx="1">
                  <c:v>1.4</c:v>
                </c:pt>
                <c:pt idx="2">
                  <c:v>2.2000000000000002</c:v>
                </c:pt>
              </c:numCache>
            </c:numRef>
          </c:val>
        </c:ser>
        <c:ser>
          <c:idx val="3"/>
          <c:order val="3"/>
          <c:tx>
            <c:strRef>
              <c:f>[ДЖ_.xls]Лист1!$E$1:$E$2</c:f>
              <c:strCache>
                <c:ptCount val="1"/>
                <c:pt idx="0">
                  <c:v>концентрация, ПДК БПК5</c:v>
                </c:pt>
              </c:strCache>
            </c:strRef>
          </c:tx>
          <c:invertIfNegative val="0"/>
          <c:cat>
            <c:strRef>
              <c:f>[ДЖ_.xls]Лист1!$A$3:$A$5</c:f>
              <c:strCache>
                <c:ptCount val="3"/>
                <c:pt idx="0">
                  <c:v>п. 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[ДЖ_.xls]Лист1!$E$3:$E$5</c:f>
              <c:numCache>
                <c:formatCode>General</c:formatCode>
                <c:ptCount val="3"/>
                <c:pt idx="0">
                  <c:v>1.7</c:v>
                </c:pt>
                <c:pt idx="1">
                  <c:v>2.7</c:v>
                </c:pt>
                <c:pt idx="2">
                  <c:v>3.7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2210176"/>
        <c:axId val="122211712"/>
        <c:axId val="0"/>
      </c:bar3DChart>
      <c:catAx>
        <c:axId val="122210176"/>
        <c:scaling>
          <c:orientation val="minMax"/>
        </c:scaling>
        <c:delete val="0"/>
        <c:axPos val="b"/>
        <c:majorTickMark val="out"/>
        <c:minorTickMark val="none"/>
        <c:tickLblPos val="nextTo"/>
        <c:crossAx val="122211712"/>
        <c:crosses val="autoZero"/>
        <c:auto val="1"/>
        <c:lblAlgn val="ctr"/>
        <c:lblOffset val="100"/>
        <c:noMultiLvlLbl val="0"/>
      </c:catAx>
      <c:valAx>
        <c:axId val="122211712"/>
        <c:scaling>
          <c:orientation val="minMax"/>
        </c:scaling>
        <c:delete val="0"/>
        <c:axPos val="r"/>
        <c:majorGridlines/>
        <c:numFmt formatCode="General" sourceLinked="1"/>
        <c:majorTickMark val="out"/>
        <c:minorTickMark val="none"/>
        <c:tickLblPos val="nextTo"/>
        <c:crossAx val="122210176"/>
        <c:crosses val="max"/>
        <c:crossBetween val="between"/>
      </c:valAx>
    </c:plotArea>
    <c:legend>
      <c:legendPos val="r"/>
      <c:layout>
        <c:manualLayout>
          <c:xMode val="edge"/>
          <c:yMode val="edge"/>
          <c:x val="0.64652573581595019"/>
          <c:y val="0.68831656260951035"/>
          <c:w val="0.3393755755841163"/>
          <c:h val="0.26278529897659253"/>
        </c:manualLayout>
      </c:layout>
      <c:overlay val="0"/>
    </c:legend>
    <c:plotVisOnly val="1"/>
    <c:dispBlanksAs val="gap"/>
    <c:showDLblsOverMax val="0"/>
  </c:chart>
  <c:externalData r:id="rId4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2942</Words>
  <Characters>16770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2025-01-20T06:55:00Z</dcterms:created>
  <dcterms:modified xsi:type="dcterms:W3CDTF">2025-01-20T06:55:00Z</dcterms:modified>
</cp:coreProperties>
</file>